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40CA4">
        <w:rPr>
          <w:rFonts w:ascii="Bookman Old Style" w:hAnsi="Bookman Old Style"/>
          <w:b/>
          <w:i/>
        </w:rPr>
        <w:t xml:space="preserve">Plan ve Bütçe, Sanayi ve Ticaret,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0F6EC4">
        <w:rPr>
          <w:rFonts w:ascii="Bookman Old Style" w:hAnsi="Bookman Old Style" w:cs="Times New Roman"/>
          <w:b/>
          <w:i/>
        </w:rPr>
        <w:t>2</w:t>
      </w:r>
      <w:r w:rsidR="00C9305F">
        <w:rPr>
          <w:rFonts w:ascii="Bookman Old Style" w:hAnsi="Bookman Old Style" w:cs="Times New Roman"/>
          <w:b/>
          <w:i/>
        </w:rPr>
        <w:t>8</w:t>
      </w:r>
      <w:r w:rsidR="00AB68A4">
        <w:rPr>
          <w:rFonts w:ascii="Bookman Old Style" w:hAnsi="Bookman Old Style" w:cs="Times New Roman"/>
          <w:b/>
          <w:i/>
        </w:rPr>
        <w:t xml:space="preserve"> –</w:t>
      </w:r>
      <w:r w:rsidR="00A8117C">
        <w:rPr>
          <w:rFonts w:ascii="Bookman Old Style" w:hAnsi="Bookman Old Style" w:cs="Times New Roman"/>
          <w:b/>
          <w:i/>
        </w:rPr>
        <w:t xml:space="preserve"> </w:t>
      </w:r>
      <w:r w:rsidR="00940CA4">
        <w:rPr>
          <w:rFonts w:ascii="Bookman Old Style" w:hAnsi="Bookman Old Style" w:cs="Times New Roman"/>
          <w:b/>
          <w:i/>
        </w:rPr>
        <w:t>2</w:t>
      </w:r>
      <w:r w:rsidR="00C9305F">
        <w:rPr>
          <w:rFonts w:ascii="Bookman Old Style" w:hAnsi="Bookman Old Style" w:cs="Times New Roman"/>
          <w:b/>
          <w:i/>
        </w:rPr>
        <w:t>9</w:t>
      </w:r>
      <w:r w:rsidR="00AB68A4">
        <w:rPr>
          <w:rFonts w:ascii="Bookman Old Style" w:hAnsi="Bookman Old Style" w:cs="Times New Roman"/>
          <w:b/>
          <w:i/>
        </w:rPr>
        <w:t xml:space="preserve"> – </w:t>
      </w:r>
      <w:r w:rsidR="00DD0168">
        <w:rPr>
          <w:rFonts w:ascii="Bookman Old Style" w:hAnsi="Bookman Old Style" w:cs="Times New Roman"/>
          <w:b/>
          <w:i/>
        </w:rPr>
        <w:t>1</w:t>
      </w:r>
      <w:r w:rsidR="00C9305F">
        <w:rPr>
          <w:rFonts w:ascii="Bookman Old Style" w:hAnsi="Bookman Old Style" w:cs="Times New Roman"/>
          <w:b/>
          <w:i/>
        </w:rPr>
        <w:t>1</w:t>
      </w:r>
      <w:r w:rsidR="00AB68A4">
        <w:rPr>
          <w:rFonts w:ascii="Bookman Old Style" w:hAnsi="Bookman Old Style" w:cs="Times New Roman"/>
          <w:b/>
          <w:i/>
        </w:rPr>
        <w:t xml:space="preserve"> </w:t>
      </w:r>
      <w:r w:rsidR="00792968">
        <w:rPr>
          <w:rFonts w:ascii="Bookman Old Style" w:hAnsi="Bookman Old Style" w:cs="Times New Roman"/>
          <w:b/>
          <w:i/>
        </w:rPr>
        <w:t>– 2</w:t>
      </w:r>
      <w:r w:rsidR="00C9305F">
        <w:rPr>
          <w:rFonts w:ascii="Bookman Old Style" w:hAnsi="Bookman Old Style" w:cs="Times New Roman"/>
          <w:b/>
          <w:i/>
        </w:rPr>
        <w:t>4</w:t>
      </w:r>
      <w:r w:rsidR="00940CA4">
        <w:rPr>
          <w:rFonts w:ascii="Bookman Old Style" w:hAnsi="Bookman Old Style" w:cs="Times New Roman"/>
          <w:b/>
          <w:i/>
        </w:rPr>
        <w:t xml:space="preserve"> – </w:t>
      </w:r>
      <w:r w:rsidR="00DD0168">
        <w:rPr>
          <w:rFonts w:ascii="Bookman Old Style" w:hAnsi="Bookman Old Style" w:cs="Times New Roman"/>
          <w:b/>
          <w:i/>
        </w:rPr>
        <w:t>2</w:t>
      </w:r>
      <w:r w:rsidR="00C9305F">
        <w:rPr>
          <w:rFonts w:ascii="Bookman Old Style" w:hAnsi="Bookman Old Style" w:cs="Times New Roman"/>
          <w:b/>
          <w:i/>
        </w:rPr>
        <w:t>2</w:t>
      </w:r>
      <w:r w:rsidR="00940CA4">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C9305F">
        <w:rPr>
          <w:rFonts w:ascii="Bookman Old Style" w:hAnsi="Bookman Old Style"/>
          <w:b/>
          <w:i/>
        </w:rPr>
        <w:t>7</w:t>
      </w:r>
      <w:r w:rsidR="00D0567A" w:rsidRPr="00953965">
        <w:rPr>
          <w:rFonts w:ascii="Bookman Old Style" w:hAnsi="Bookman Old Style"/>
          <w:b/>
          <w:bCs/>
        </w:rPr>
        <w:t>.</w:t>
      </w:r>
      <w:r w:rsidR="00284EB7" w:rsidRPr="00953965">
        <w:rPr>
          <w:rFonts w:ascii="Bookman Old Style" w:hAnsi="Bookman Old Style"/>
          <w:b/>
          <w:bCs/>
        </w:rPr>
        <w:t>0</w:t>
      </w:r>
      <w:r w:rsidR="00EF463B">
        <w:rPr>
          <w:rFonts w:ascii="Bookman Old Style" w:hAnsi="Bookman Old Style"/>
          <w:b/>
          <w:bCs/>
        </w:rPr>
        <w:t>6</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C9305F">
        <w:rPr>
          <w:rFonts w:ascii="Bookman Old Style" w:hAnsi="Bookman Old Style"/>
          <w:b/>
          <w:i/>
        </w:rPr>
        <w:t>103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6B02E5" w:rsidRDefault="00070585" w:rsidP="001C00DF">
      <w:pPr>
        <w:pStyle w:val="AralkYok"/>
        <w:jc w:val="both"/>
        <w:rPr>
          <w:rFonts w:ascii="Bookman Old Style" w:eastAsia="Calibri" w:hAnsi="Bookman Old Style" w:cs="Times New Roman"/>
          <w:b/>
          <w:i/>
        </w:rPr>
      </w:pPr>
    </w:p>
    <w:p w:rsidR="00C9305F" w:rsidRPr="00361ACE" w:rsidRDefault="004D092F" w:rsidP="00C9305F">
      <w:pPr>
        <w:pStyle w:val="NormalWeb"/>
        <w:ind w:firstLine="708"/>
        <w:jc w:val="both"/>
        <w:rPr>
          <w:rFonts w:ascii="Bookman Old Style" w:hAnsi="Bookman Old Style"/>
          <w:b/>
          <w:i/>
          <w:sz w:val="22"/>
          <w:szCs w:val="22"/>
        </w:rPr>
      </w:pPr>
      <w:r w:rsidRPr="00361ACE">
        <w:rPr>
          <w:rFonts w:ascii="Bookman Old Style" w:eastAsia="Batang" w:hAnsi="Bookman Old Style"/>
          <w:b/>
          <w:bCs/>
          <w:i/>
          <w:iCs/>
        </w:rPr>
        <w:t>Y</w:t>
      </w:r>
      <w:r w:rsidR="00DF414E" w:rsidRPr="00361ACE">
        <w:rPr>
          <w:rFonts w:ascii="Bookman Old Style" w:eastAsia="Batang" w:hAnsi="Bookman Old Style"/>
          <w:b/>
          <w:bCs/>
          <w:i/>
          <w:iCs/>
        </w:rPr>
        <w:t>erinde yapılan incelemeler</w:t>
      </w:r>
      <w:r w:rsidR="00B678AD" w:rsidRPr="00361ACE">
        <w:rPr>
          <w:rFonts w:ascii="Bookman Old Style" w:eastAsia="Batang" w:hAnsi="Bookman Old Style"/>
          <w:b/>
          <w:bCs/>
          <w:i/>
          <w:iCs/>
        </w:rPr>
        <w:t xml:space="preserve"> neticesinde</w:t>
      </w:r>
      <w:r w:rsidR="00D51C73" w:rsidRPr="00361ACE">
        <w:rPr>
          <w:rFonts w:ascii="Bookman Old Style" w:eastAsia="Batang" w:hAnsi="Bookman Old Style"/>
          <w:b/>
          <w:bCs/>
          <w:i/>
          <w:iCs/>
        </w:rPr>
        <w:t>;</w:t>
      </w:r>
      <w:r w:rsidR="00C9305F" w:rsidRPr="00361ACE">
        <w:rPr>
          <w:rFonts w:ascii="Bookman Old Style" w:eastAsia="Batang" w:hAnsi="Bookman Old Style"/>
          <w:b/>
          <w:bCs/>
          <w:i/>
          <w:iCs/>
        </w:rPr>
        <w:t xml:space="preserve"> </w:t>
      </w:r>
      <w:r w:rsidR="00C9305F" w:rsidRPr="00361ACE">
        <w:rPr>
          <w:rFonts w:ascii="Bookman Old Style" w:hAnsi="Bookman Old Style"/>
          <w:b/>
          <w:i/>
          <w:sz w:val="22"/>
          <w:szCs w:val="22"/>
        </w:rPr>
        <w:t>3194 Sayılı İmar Kanunun “Köylerde yapılacak yapılar ve uyulacak esaslar” başlıklı 27. maddesinde “</w:t>
      </w:r>
      <w:r w:rsidR="00C9305F" w:rsidRPr="00361ACE">
        <w:rPr>
          <w:rFonts w:ascii="Bookman Old Style" w:hAnsi="Bookman Old Style"/>
          <w:b/>
          <w:i/>
          <w:iCs/>
          <w:sz w:val="22"/>
          <w:szCs w:val="22"/>
        </w:rPr>
        <w:t xml:space="preserve">Belediye ve mücavir alanlar dışında köylerin köy yerleşik alanlarında, civarında ve mezralarda yapılacak konut, entegre tesis niteliğinde olmayan ve imar planı gerektirmeyen tarım ve hayvancılık amaçlı yapılar ile köyde oturanların ihtiyaçlarını karşılayacak </w:t>
      </w:r>
      <w:r w:rsidR="00C9305F" w:rsidRPr="00361ACE">
        <w:rPr>
          <w:rFonts w:ascii="Bookman Old Style" w:hAnsi="Bookman Old Style"/>
          <w:b/>
          <w:i/>
          <w:iCs/>
          <w:sz w:val="22"/>
          <w:szCs w:val="22"/>
          <w:u w:val="single"/>
        </w:rPr>
        <w:t>bakkal, manav, berber, köy fırını, köy kahvesi, köy lokantası, tanıtım ve teşhir büfeleri ve köy halkı tarafından kurulan ve işletilen kooperatiflerin işletme binası gibi</w:t>
      </w:r>
      <w:r w:rsidR="00C9305F" w:rsidRPr="00361ACE">
        <w:rPr>
          <w:rFonts w:ascii="Bookman Old Style" w:hAnsi="Bookman Old Style"/>
          <w:b/>
          <w:i/>
          <w:iCs/>
          <w:sz w:val="22"/>
          <w:szCs w:val="22"/>
        </w:rPr>
        <w:t xml:space="preserve"> yapılar için yapı ruhsatı aranmaz” </w:t>
      </w:r>
      <w:r w:rsidR="00C9305F" w:rsidRPr="00361ACE">
        <w:rPr>
          <w:rFonts w:ascii="Bookman Old Style" w:hAnsi="Bookman Old Style"/>
          <w:b/>
          <w:i/>
          <w:sz w:val="22"/>
          <w:szCs w:val="22"/>
        </w:rPr>
        <w:t>ifadesi ile kanun maddesi içeriğinde yer alan ticari mahiyette olan binaların yapı ruhsatına tabi olmadığı belirtilmişse de;</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1/100.000 Ölçekli Zonguldak-Bartın-Karabük Çevre Düzeni Planı plan hükümlerinin “Kırsal Yerleşme Alanları” başlığı altında yer alan VI.7.5. nolu maddesinde “</w:t>
      </w:r>
      <w:r w:rsidRPr="00361ACE">
        <w:rPr>
          <w:rFonts w:ascii="Bookman Old Style" w:hAnsi="Bookman Old Style"/>
          <w:b/>
          <w:i/>
          <w:iCs/>
          <w:sz w:val="22"/>
          <w:szCs w:val="22"/>
        </w:rPr>
        <w:t>Kırsal yerleşme alanlarında imar planları yapılıncaya kadar konut, tarım ve hayvancılık amaçlı yapılarda yapılanma koşulları Plansız Alanlar İmar Yönetmeliği hükümlerine göre belirlenir. Silo, samanlık, yem deposu, vb. yapılar için maksimum bina yüksekliği ihtiyaç doğrultusunda belirlenir.”</w:t>
      </w:r>
      <w:r w:rsidRPr="00361ACE">
        <w:rPr>
          <w:rFonts w:ascii="Bookman Old Style" w:hAnsi="Bookman Old Style"/>
          <w:b/>
          <w:i/>
          <w:sz w:val="22"/>
          <w:szCs w:val="22"/>
        </w:rPr>
        <w:t xml:space="preserve"> 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VI.7.6. nolu maddesinde “</w:t>
      </w:r>
      <w:r w:rsidRPr="00361ACE">
        <w:rPr>
          <w:rFonts w:ascii="Bookman Old Style" w:hAnsi="Bookman Old Style"/>
          <w:b/>
          <w:i/>
          <w:iCs/>
          <w:sz w:val="22"/>
          <w:szCs w:val="22"/>
        </w:rPr>
        <w:t xml:space="preserve">Köyün genel ihtiyaçlarına yönelik olarak yapılacak sosyal ve </w:t>
      </w:r>
      <w:r w:rsidRPr="00361ACE">
        <w:rPr>
          <w:rFonts w:ascii="Bookman Old Style" w:hAnsi="Bookman Old Style"/>
          <w:b/>
          <w:bCs/>
          <w:i/>
          <w:iCs/>
          <w:sz w:val="22"/>
          <w:szCs w:val="22"/>
        </w:rPr>
        <w:t>ticari tesisler</w:t>
      </w:r>
      <w:r w:rsidRPr="00361ACE">
        <w:rPr>
          <w:rFonts w:ascii="Bookman Old Style" w:hAnsi="Bookman Old Style"/>
          <w:b/>
          <w:i/>
          <w:iCs/>
          <w:sz w:val="22"/>
          <w:szCs w:val="22"/>
        </w:rPr>
        <w:t xml:space="preserve"> (köy konağı, ibadethane, okul, spor alanı, harman yeri, pazar yeri, sağlık ocağı, sağlık evi, PTT, karakol, </w:t>
      </w:r>
      <w:r w:rsidRPr="00361ACE">
        <w:rPr>
          <w:rFonts w:ascii="Bookman Old Style" w:hAnsi="Bookman Old Style"/>
          <w:b/>
          <w:bCs/>
          <w:i/>
          <w:iCs/>
          <w:sz w:val="22"/>
          <w:szCs w:val="22"/>
        </w:rPr>
        <w:t>ticarethane,</w:t>
      </w:r>
      <w:r w:rsidRPr="00361ACE">
        <w:rPr>
          <w:rFonts w:ascii="Bookman Old Style" w:hAnsi="Bookman Old Style"/>
          <w:b/>
          <w:i/>
          <w:iCs/>
          <w:sz w:val="22"/>
          <w:szCs w:val="22"/>
        </w:rPr>
        <w:t xml:space="preserve"> mezarlık vb.) için yapılaşma koşulları ilgili İdaresince belirlenir.'' </w:t>
      </w:r>
      <w:r w:rsidRPr="00361ACE">
        <w:rPr>
          <w:rFonts w:ascii="Bookman Old Style" w:hAnsi="Bookman Old Style"/>
          <w:b/>
          <w:i/>
          <w:sz w:val="22"/>
          <w:szCs w:val="22"/>
        </w:rPr>
        <w:t xml:space="preserve">hükmü, VI.7.7. nolu maddesinde </w:t>
      </w:r>
      <w:r w:rsidRPr="00361ACE">
        <w:rPr>
          <w:rFonts w:ascii="Bookman Old Style" w:hAnsi="Bookman Old Style"/>
          <w:b/>
          <w:i/>
          <w:iCs/>
          <w:sz w:val="22"/>
          <w:szCs w:val="22"/>
        </w:rPr>
        <w:t xml:space="preserve">''Bu kullanımlar dışındaki her türlü faaliyet için (turizm, günübirlik veya </w:t>
      </w:r>
      <w:r w:rsidRPr="00361ACE">
        <w:rPr>
          <w:rFonts w:ascii="Bookman Old Style" w:hAnsi="Bookman Old Style"/>
          <w:b/>
          <w:bCs/>
          <w:i/>
          <w:iCs/>
          <w:sz w:val="22"/>
          <w:szCs w:val="22"/>
        </w:rPr>
        <w:t>bölgesel düzeyde ticaret kullanımlar</w:t>
      </w:r>
      <w:r w:rsidRPr="00361ACE">
        <w:rPr>
          <w:rFonts w:ascii="Bookman Old Style" w:hAnsi="Bookman Old Style"/>
          <w:b/>
          <w:i/>
          <w:iCs/>
          <w:sz w:val="22"/>
          <w:szCs w:val="22"/>
        </w:rPr>
        <w:t xml:space="preserve"> vb.) imar planı yapılması zorunlu olup; Emsal: 0,50'dir. Diğer yapılanma koşulları çevre imar bütünlüğü gözetilerek alt ölçekli planlarda belirlenecektir.'' </w:t>
      </w:r>
      <w:r w:rsidRPr="00361ACE">
        <w:rPr>
          <w:rFonts w:ascii="Bookman Old Style" w:hAnsi="Bookman Old Style"/>
          <w:b/>
          <w:i/>
          <w:sz w:val="22"/>
          <w:szCs w:val="22"/>
        </w:rPr>
        <w:t>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xml:space="preserve">        Zonguldak İli, 1/25.000 ölçekli Çevre Düzeni Planı plan hükümlerinin “Kırsal Yerleşme Alanları” başlığı altında yer alan 7.1.2.8. nolu maddesinde </w:t>
      </w:r>
      <w:r w:rsidRPr="00361ACE">
        <w:rPr>
          <w:rFonts w:ascii="Bookman Old Style" w:hAnsi="Bookman Old Style"/>
          <w:b/>
          <w:i/>
          <w:iCs/>
          <w:sz w:val="22"/>
          <w:szCs w:val="22"/>
        </w:rPr>
        <w:t xml:space="preserve">''Kırsal yerleşme alanlarında imar planları yapılıncaya kadar konut, tarım ve hayvancılık amaçlı yapılarda yapılanma koşulları Plansız Alanlar İmar Yönetmeliği hükümlerine göre belirlenir. Silo, samanlık, yem deposu, vb. yapılar için maksimum bina yüksekliği ihtiyaç doğrultusunda belirlenir. </w:t>
      </w:r>
      <w:r w:rsidRPr="00361ACE">
        <w:rPr>
          <w:rFonts w:ascii="Bookman Old Style" w:hAnsi="Bookman Old Style"/>
          <w:b/>
          <w:i/>
          <w:iCs/>
          <w:sz w:val="22"/>
          <w:szCs w:val="22"/>
          <w:u w:val="single"/>
        </w:rPr>
        <w:t xml:space="preserve">Köyün genel ihtiyaçlarına yönelik olarak yapılacak sosyal ve </w:t>
      </w:r>
      <w:r w:rsidRPr="00361ACE">
        <w:rPr>
          <w:rFonts w:ascii="Bookman Old Style" w:hAnsi="Bookman Old Style"/>
          <w:b/>
          <w:bCs/>
          <w:i/>
          <w:iCs/>
          <w:sz w:val="22"/>
          <w:szCs w:val="22"/>
          <w:u w:val="single"/>
        </w:rPr>
        <w:t>ticari tesisler</w:t>
      </w:r>
      <w:r w:rsidRPr="00361ACE">
        <w:rPr>
          <w:rFonts w:ascii="Bookman Old Style" w:hAnsi="Bookman Old Style"/>
          <w:b/>
          <w:i/>
          <w:iCs/>
          <w:sz w:val="22"/>
          <w:szCs w:val="22"/>
          <w:u w:val="single"/>
        </w:rPr>
        <w:t xml:space="preserve"> (köy konağı, ibadethane, okul, spor alanı, harman yeri, pazar yeri, sağlık ocağı, sağlık evi, PTT, karakol, </w:t>
      </w:r>
      <w:r w:rsidRPr="00361ACE">
        <w:rPr>
          <w:rFonts w:ascii="Bookman Old Style" w:hAnsi="Bookman Old Style"/>
          <w:b/>
          <w:bCs/>
          <w:i/>
          <w:iCs/>
          <w:sz w:val="22"/>
          <w:szCs w:val="22"/>
          <w:u w:val="single"/>
        </w:rPr>
        <w:t>ticarethane,</w:t>
      </w:r>
      <w:r w:rsidRPr="00361ACE">
        <w:rPr>
          <w:rFonts w:ascii="Bookman Old Style" w:hAnsi="Bookman Old Style"/>
          <w:b/>
          <w:i/>
          <w:iCs/>
          <w:sz w:val="22"/>
          <w:szCs w:val="22"/>
          <w:u w:val="single"/>
        </w:rPr>
        <w:t xml:space="preserve"> mezarlık vb.) için </w:t>
      </w:r>
      <w:r w:rsidRPr="00361ACE">
        <w:rPr>
          <w:rFonts w:ascii="Bookman Old Style" w:hAnsi="Bookman Old Style"/>
          <w:b/>
          <w:bCs/>
          <w:i/>
          <w:iCs/>
          <w:sz w:val="22"/>
          <w:szCs w:val="22"/>
          <w:u w:val="single"/>
        </w:rPr>
        <w:t>yapılaşma koşulları ilgili İdaresince belirlenir.</w:t>
      </w:r>
      <w:r w:rsidRPr="00361ACE">
        <w:rPr>
          <w:rFonts w:ascii="Bookman Old Style" w:hAnsi="Bookman Old Style"/>
          <w:b/>
          <w:i/>
          <w:iCs/>
          <w:sz w:val="22"/>
          <w:szCs w:val="22"/>
          <w:u w:val="single"/>
        </w:rPr>
        <w:t xml:space="preserve"> Bu kullanımlar dışındaki her türlü faaliyet için (turizm, günübirlik veya </w:t>
      </w:r>
      <w:r w:rsidRPr="00361ACE">
        <w:rPr>
          <w:rFonts w:ascii="Bookman Old Style" w:hAnsi="Bookman Old Style"/>
          <w:b/>
          <w:bCs/>
          <w:i/>
          <w:iCs/>
          <w:sz w:val="22"/>
          <w:szCs w:val="22"/>
          <w:u w:val="single"/>
        </w:rPr>
        <w:t>bölgesel düzeyde ticaret</w:t>
      </w:r>
      <w:r w:rsidRPr="00361ACE">
        <w:rPr>
          <w:rFonts w:ascii="Bookman Old Style" w:hAnsi="Bookman Old Style"/>
          <w:b/>
          <w:i/>
          <w:iCs/>
          <w:sz w:val="22"/>
          <w:szCs w:val="22"/>
          <w:u w:val="single"/>
        </w:rPr>
        <w:t xml:space="preserve"> kullanımlar vb.) imar planı yapılması zorunlu olup; </w:t>
      </w:r>
      <w:r w:rsidRPr="00361ACE">
        <w:rPr>
          <w:rFonts w:ascii="Bookman Old Style" w:hAnsi="Bookman Old Style"/>
          <w:b/>
          <w:bCs/>
          <w:i/>
          <w:iCs/>
          <w:sz w:val="22"/>
          <w:szCs w:val="22"/>
          <w:u w:val="single"/>
        </w:rPr>
        <w:t>Emsal: 0,50'dir</w:t>
      </w:r>
      <w:r w:rsidRPr="00361ACE">
        <w:rPr>
          <w:rFonts w:ascii="Bookman Old Style" w:hAnsi="Bookman Old Style"/>
          <w:b/>
          <w:i/>
          <w:iCs/>
          <w:sz w:val="22"/>
          <w:szCs w:val="22"/>
          <w:u w:val="single"/>
        </w:rPr>
        <w:t>.</w:t>
      </w:r>
      <w:r w:rsidRPr="00361ACE">
        <w:rPr>
          <w:rFonts w:ascii="Bookman Old Style" w:hAnsi="Bookman Old Style"/>
          <w:b/>
          <w:i/>
          <w:iCs/>
          <w:sz w:val="22"/>
          <w:szCs w:val="22"/>
        </w:rPr>
        <w:t xml:space="preserve"> Diğer yapılanma koşulları çevre imar bütünlüğü gözetilerek alt ölçekli planlarda belirlenecektir.'' </w:t>
      </w:r>
      <w:r w:rsidRPr="00361ACE">
        <w:rPr>
          <w:rFonts w:ascii="Bookman Old Style" w:hAnsi="Bookman Old Style"/>
          <w:b/>
          <w:i/>
          <w:sz w:val="22"/>
          <w:szCs w:val="22"/>
        </w:rPr>
        <w:t>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ab/>
        <w:t>Plansız Alanlar İmar Yönetmeliğinin Beşinci bölümü içerisinde yer alan “Yapı Ruhsat İşleri” başlıklı 57. maddesinde “</w:t>
      </w:r>
      <w:r w:rsidRPr="00361ACE">
        <w:rPr>
          <w:rFonts w:ascii="Bookman Old Style" w:hAnsi="Bookman Old Style"/>
          <w:b/>
          <w:i/>
          <w:iCs/>
          <w:sz w:val="22"/>
          <w:szCs w:val="22"/>
        </w:rPr>
        <w:t xml:space="preserve">Köy ve mezraların yerleşik alanları ve civarı ile kırsal yerleşik alanlar ve civarında yapılacak </w:t>
      </w:r>
      <w:r w:rsidRPr="00361ACE">
        <w:rPr>
          <w:rFonts w:ascii="Bookman Old Style" w:hAnsi="Bookman Old Style"/>
          <w:b/>
          <w:i/>
          <w:iCs/>
          <w:sz w:val="22"/>
          <w:szCs w:val="22"/>
          <w:u w:val="single"/>
        </w:rPr>
        <w:t>konut, tarımsal ve hayvancılık amaçlı yapılar ile müştemilat binaları yapı ruhsatı ve yapı kullanma iznine tabi değildir</w:t>
      </w:r>
      <w:r w:rsidRPr="00361ACE">
        <w:rPr>
          <w:rFonts w:ascii="Bookman Old Style" w:hAnsi="Bookman Old Style"/>
          <w:b/>
          <w:i/>
          <w:sz w:val="22"/>
          <w:szCs w:val="22"/>
        </w:rPr>
        <w:t>.”; 58. maddesinde ise “</w:t>
      </w:r>
      <w:r w:rsidRPr="00361ACE">
        <w:rPr>
          <w:rFonts w:ascii="Bookman Old Style" w:hAnsi="Bookman Old Style"/>
          <w:b/>
          <w:i/>
          <w:iCs/>
          <w:sz w:val="22"/>
          <w:szCs w:val="22"/>
          <w:u w:val="single"/>
        </w:rPr>
        <w:t>57 nci maddede sayılanlar dışında kalan tüm yapılar, yapı ruhsatı ve yapı kullanma iznine tabidir.</w:t>
      </w:r>
      <w:r w:rsidRPr="00361ACE">
        <w:rPr>
          <w:rFonts w:ascii="Bookman Old Style" w:hAnsi="Bookman Old Style"/>
          <w:b/>
          <w:i/>
          <w:iCs/>
          <w:sz w:val="22"/>
          <w:szCs w:val="22"/>
        </w:rPr>
        <w:t xml:space="preserve"> Yapı ruhsatı ve yapı kullanma izni ilgili idarelerce düzenlenir.”</w:t>
      </w:r>
      <w:r w:rsidRPr="00361ACE">
        <w:rPr>
          <w:rFonts w:ascii="Bookman Old Style" w:hAnsi="Bookman Old Style"/>
          <w:b/>
          <w:i/>
          <w:sz w:val="22"/>
          <w:szCs w:val="22"/>
        </w:rPr>
        <w:t xml:space="preserve"> hükümlerinin yer aldığı;</w:t>
      </w:r>
    </w:p>
    <w:p w:rsidR="00C9305F" w:rsidRDefault="00C9305F" w:rsidP="00C9305F">
      <w:pPr>
        <w:pStyle w:val="AralkYok"/>
        <w:rPr>
          <w:rFonts w:ascii="Bookman Old Style" w:hAnsi="Bookman Old Style" w:cs="Times New Roman"/>
          <w:b/>
          <w:i/>
        </w:rPr>
      </w:pPr>
      <w:r>
        <w:rPr>
          <w:rFonts w:ascii="Bookman Old Style" w:hAnsi="Bookman Old Style"/>
          <w:b/>
          <w:i/>
        </w:rPr>
        <w:lastRenderedPageBreak/>
        <w:t>İ</w:t>
      </w:r>
      <w:r w:rsidRPr="001D5107">
        <w:rPr>
          <w:rFonts w:ascii="Bookman Old Style" w:hAnsi="Bookman Old Style"/>
          <w:b/>
          <w:i/>
        </w:rPr>
        <w:t>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 xml:space="preserve">28 – 29 –11 – 24 – 22 </w:t>
      </w:r>
    </w:p>
    <w:p w:rsidR="00C9305F" w:rsidRDefault="00C9305F" w:rsidP="00C9305F">
      <w:pPr>
        <w:pStyle w:val="AralkYok"/>
        <w:jc w:val="center"/>
        <w:rPr>
          <w:rFonts w:ascii="Bookman Old Style" w:hAnsi="Bookman Old Style"/>
          <w:b/>
          <w:i/>
        </w:rPr>
      </w:pPr>
      <w:r>
        <w:rPr>
          <w:rFonts w:ascii="Bookman Old Style" w:hAnsi="Bookman Old Style" w:cs="Times New Roman"/>
          <w:b/>
          <w:i/>
        </w:rPr>
        <w:t>sayılı raporlarının 2. Sayfasıdır.</w:t>
      </w:r>
    </w:p>
    <w:p w:rsidR="00C9305F" w:rsidRDefault="00C9305F" w:rsidP="00C9305F">
      <w:pPr>
        <w:tabs>
          <w:tab w:val="left" w:pos="0"/>
        </w:tabs>
        <w:ind w:firstLine="360"/>
        <w:jc w:val="center"/>
        <w:rPr>
          <w:rFonts w:ascii="Bookman Old Style" w:hAnsi="Bookman Old Style"/>
          <w:b/>
          <w:i/>
        </w:rPr>
      </w:pPr>
    </w:p>
    <w:p w:rsidR="00C9305F" w:rsidRPr="00C9305F" w:rsidRDefault="00C9305F" w:rsidP="00C9305F">
      <w:pPr>
        <w:pStyle w:val="NormalWeb"/>
        <w:ind w:firstLine="708"/>
        <w:jc w:val="both"/>
        <w:rPr>
          <w:rFonts w:ascii="Bookman Old Style" w:hAnsi="Bookman Old Style"/>
          <w:b/>
          <w:i/>
          <w:sz w:val="22"/>
          <w:szCs w:val="22"/>
        </w:rPr>
      </w:pPr>
      <w:r w:rsidRPr="00C9305F">
        <w:rPr>
          <w:rFonts w:ascii="Bookman Old Style" w:hAnsi="Bookman Old Style"/>
          <w:b/>
          <w:i/>
          <w:sz w:val="22"/>
          <w:szCs w:val="22"/>
        </w:rPr>
        <w:t xml:space="preserve">Dolayısıyla yukarıda belirtilen Plan Notları ile atıf yaptığı Plansız Alanlar İmar Yönetmeliği birlikte değerlendirildiğinde; </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Yukarıda belirtilen Plan Notları ile ilgi görüş yazısına istinaden imar planı yapılması gerektiren bölgesel düzeyde ticaret kullanımları ile köyün genel ihtiyaçlarına yönelik olarak yapılacak imar planı gerektirmeyen ticarethane faaliyetleri ve bunların yapılaşma koşullarının İdaresince belirlenmesi gerekmektedir.</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Bu kapsamda: </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1- Bu alanlarda yapılması planlanan ve içerisinde bakkal, manav, berber, köy fırını, köy kahvesi, köy lokantası gibi kullanım amaçlı bağımsız bölümler bulunan konut yapılarının, ticari bağımsız bölümlerinin toplam inşaat alanının 100 m² ve altında olması durumunda köyün genel ihtiyaçlarına yönelik olarak yapılacak ticarethane yapıları olarak değerlendirilmesine, Plansız Alanlar İmar Yönetmeliğinin 5. bölümündeki belirtilen konutlar için geçerli olan yapılaşma koşullarının uygulanması ve bu yapıların İmar Kanunun 27. maddesi kapsamında ruhsata tabi olmayan yapılar olarak değerlendirilmesi;</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2- Bu yapıların ticari bağımsız bölümlerinin toplam inşaat alanının 100 m² üstü ve 270 m² altı olması durumunda köyün genel ihtiyaçlarına yönelik olarak yapılacak ticarethane yapıları olarak değerlendirilmesine, Plansız Alanlar İmar Yönetmeliğinin 5. bölümündeki belirtilen konutlar için geçerli olan yapılaşma koşullarının uygulanmasına, aynı yönetmeliğin 57. ve 58. Maddeleri kapsamında yapı ruhsatı ve yapı kullanma iznine tabi olunmasına;</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3- Yine bu alanlarda yer alan yüzölçümü 300 m² altındaki parsellerde yapılması planlanan, sadece ticaret kullanım amacını içeren yapılarda, Plansız Alanlar İmar Yönetmeliğin 49. maddesi gereğince, İl Encümenince ilgili parselde inşaat yapılmasının uygun bulunması kaydıyla, Taban Alanı Kat Sayısının %90 geçmemesi, bir katlı ve yapı yüksekliği (5,00) m. den fazla olmaması şeklinde yapı nizamının belirlenmesi ve bu yapıların köyün genel ihtiyaçlarına yönelik olarak yapılacak ticarethane yapıları olarak değerlendirilmesine, aynı yönetmeliğin 57. ve 58. Maddeleri kapsamında yapı ruhsatı ve yapı kullanma iznine tabi olunmasına;</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4- Yapılması planlanan yapıdaki ticari bağımsız bölümlerin yüz ölçümleri toplamının 270 m² ve üstü olması durumunda kullanımın, bölgesel düzeyde ticaret olarak değerlendirilmesi, bu yapıların imar planına tabi olması ve ilgili üst ölçek plan hükümleri doğrultusunda işlem yapılmasına;</w:t>
      </w:r>
    </w:p>
    <w:p w:rsidR="006B02E5" w:rsidRPr="006B02E5" w:rsidRDefault="00C9305F" w:rsidP="006B02E5">
      <w:pPr>
        <w:ind w:firstLine="709"/>
        <w:jc w:val="both"/>
        <w:rPr>
          <w:rFonts w:ascii="Bookman Old Style" w:hAnsi="Bookman Old Style"/>
          <w:b/>
          <w:i/>
        </w:rPr>
      </w:pPr>
      <w:r w:rsidRPr="00C9305F">
        <w:rPr>
          <w:rFonts w:ascii="Bookman Old Style" w:hAnsi="Bookman Old Style"/>
          <w:b/>
          <w:i/>
        </w:rPr>
        <w:t>        Yukarıda belirtilmeyen hususlarda Plansız Alanlar İmar Yönetmeliği hükümlerinin geçerli olması</w:t>
      </w:r>
      <w:r>
        <w:rPr>
          <w:rFonts w:ascii="Bookman Old Style" w:hAnsi="Bookman Old Style"/>
          <w:b/>
          <w:i/>
        </w:rPr>
        <w:t xml:space="preserve">na, </w:t>
      </w:r>
      <w:r w:rsidR="006B02E5" w:rsidRPr="006B02E5">
        <w:rPr>
          <w:rFonts w:ascii="Bookman Old Style" w:hAnsi="Bookman Old Style"/>
          <w:b/>
          <w:i/>
        </w:rPr>
        <w:t xml:space="preserve"> Komisyonlarımız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EF463B">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Nedim BEKAR          Burhanettin ÇAKIR</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940CA4" w:rsidRDefault="00940CA4"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C9305F" w:rsidRDefault="00C9305F" w:rsidP="00C9305F">
      <w:pPr>
        <w:pStyle w:val="AralkYok"/>
        <w:rPr>
          <w:rFonts w:ascii="Bookman Old Style" w:hAnsi="Bookman Old Style" w:cs="Times New Roman"/>
          <w:b/>
          <w:i/>
        </w:rPr>
      </w:pPr>
      <w:r>
        <w:rPr>
          <w:rFonts w:ascii="Bookman Old Style" w:hAnsi="Bookman Old Style"/>
          <w:b/>
          <w:i/>
        </w:rPr>
        <w:t>İ</w:t>
      </w:r>
      <w:r w:rsidRPr="001D5107">
        <w:rPr>
          <w:rFonts w:ascii="Bookman Old Style" w:hAnsi="Bookman Old Style"/>
          <w:b/>
          <w:i/>
        </w:rPr>
        <w:t>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 xml:space="preserve">28 – 29 –11 – 24 – 22 </w:t>
      </w:r>
    </w:p>
    <w:p w:rsidR="00C9305F" w:rsidRDefault="00C9305F" w:rsidP="00C9305F">
      <w:pPr>
        <w:pStyle w:val="AralkYok"/>
        <w:jc w:val="center"/>
        <w:rPr>
          <w:rFonts w:ascii="Bookman Old Style" w:hAnsi="Bookman Old Style"/>
          <w:b/>
          <w:i/>
        </w:rPr>
      </w:pPr>
      <w:r>
        <w:rPr>
          <w:rFonts w:ascii="Bookman Old Style" w:hAnsi="Bookman Old Style" w:cs="Times New Roman"/>
          <w:b/>
          <w:i/>
        </w:rPr>
        <w:t>sayılı raporlarının 3. Sayfasıdır.</w:t>
      </w:r>
    </w:p>
    <w:p w:rsidR="00C9305F" w:rsidRDefault="00C9305F"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940CA4" w:rsidRPr="001D5107" w:rsidRDefault="00940CA4" w:rsidP="00940CA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940CA4" w:rsidRPr="001D5107" w:rsidRDefault="00940CA4" w:rsidP="00940CA4">
      <w:pPr>
        <w:pStyle w:val="AralkYok"/>
        <w:jc w:val="center"/>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40CA4"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Pr="001D5107" w:rsidRDefault="00940CA4" w:rsidP="00940CA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Pr="001D5107" w:rsidRDefault="00940CA4" w:rsidP="00940CA4">
      <w:pPr>
        <w:pStyle w:val="AralkYok"/>
        <w:ind w:firstLine="708"/>
        <w:rPr>
          <w:rFonts w:ascii="Bookman Old Style" w:hAnsi="Bookman Old Style" w:cs="Times New Roman"/>
          <w:b/>
          <w:i/>
        </w:rPr>
      </w:pPr>
    </w:p>
    <w:p w:rsidR="00940CA4"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940CA4" w:rsidRDefault="00940CA4" w:rsidP="00940CA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D51C73" w:rsidRPr="001D5107" w:rsidRDefault="00B301AE" w:rsidP="00D51C73">
      <w:pPr>
        <w:pStyle w:val="AralkYok"/>
        <w:jc w:val="center"/>
        <w:rPr>
          <w:rFonts w:ascii="Bookman Old Style" w:hAnsi="Bookman Old Style" w:cs="Times New Roman"/>
          <w:b/>
          <w:i/>
          <w:u w:val="single"/>
        </w:rPr>
      </w:pPr>
      <w:r>
        <w:rPr>
          <w:rFonts w:ascii="Bookman Old Style" w:hAnsi="Bookman Old Style" w:cs="Times New Roman"/>
          <w:b/>
          <w:i/>
          <w:u w:val="single"/>
        </w:rPr>
        <w:t>K</w:t>
      </w:r>
      <w:r w:rsidR="00D51C73" w:rsidRPr="001D5107">
        <w:rPr>
          <w:rFonts w:ascii="Bookman Old Style" w:hAnsi="Bookman Old Style" w:cs="Times New Roman"/>
          <w:b/>
          <w:i/>
          <w:u w:val="single"/>
        </w:rPr>
        <w:t>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792968" w:rsidRDefault="00792968" w:rsidP="00CA3813">
      <w:pPr>
        <w:tabs>
          <w:tab w:val="left" w:pos="0"/>
        </w:tabs>
        <w:ind w:firstLine="360"/>
        <w:jc w:val="both"/>
        <w:rPr>
          <w:rFonts w:ascii="Bookman Old Style" w:hAnsi="Bookman Old Style"/>
          <w:b/>
          <w:i/>
        </w:rPr>
      </w:pPr>
    </w:p>
    <w:sectPr w:rsidR="00792968"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98C" w:rsidRDefault="00A7798C" w:rsidP="005C41D9">
      <w:pPr>
        <w:spacing w:after="0" w:line="240" w:lineRule="auto"/>
      </w:pPr>
      <w:r>
        <w:separator/>
      </w:r>
    </w:p>
  </w:endnote>
  <w:endnote w:type="continuationSeparator" w:id="1">
    <w:p w:rsidR="00A7798C" w:rsidRDefault="00A7798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98C" w:rsidRDefault="00A7798C" w:rsidP="005C41D9">
      <w:pPr>
        <w:spacing w:after="0" w:line="240" w:lineRule="auto"/>
      </w:pPr>
      <w:r>
        <w:separator/>
      </w:r>
    </w:p>
  </w:footnote>
  <w:footnote w:type="continuationSeparator" w:id="1">
    <w:p w:rsidR="00A7798C" w:rsidRDefault="00A7798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8365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9206C"/>
    <w:rsid w:val="000A6825"/>
    <w:rsid w:val="000B19AA"/>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337A7"/>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61ACE"/>
    <w:rsid w:val="0037481E"/>
    <w:rsid w:val="00375139"/>
    <w:rsid w:val="00390CAE"/>
    <w:rsid w:val="00393B24"/>
    <w:rsid w:val="003A1549"/>
    <w:rsid w:val="003A4A7A"/>
    <w:rsid w:val="003B5532"/>
    <w:rsid w:val="003D5A57"/>
    <w:rsid w:val="003F7C89"/>
    <w:rsid w:val="00404BB1"/>
    <w:rsid w:val="00411E94"/>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54EB"/>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82CAC"/>
    <w:rsid w:val="0069259E"/>
    <w:rsid w:val="00692936"/>
    <w:rsid w:val="006A36D2"/>
    <w:rsid w:val="006B02E5"/>
    <w:rsid w:val="006B68D9"/>
    <w:rsid w:val="006D32A7"/>
    <w:rsid w:val="006F6DAC"/>
    <w:rsid w:val="0072145E"/>
    <w:rsid w:val="00724C22"/>
    <w:rsid w:val="0072752D"/>
    <w:rsid w:val="00734818"/>
    <w:rsid w:val="00756916"/>
    <w:rsid w:val="0076145A"/>
    <w:rsid w:val="00763A75"/>
    <w:rsid w:val="00783336"/>
    <w:rsid w:val="00787E6E"/>
    <w:rsid w:val="00792968"/>
    <w:rsid w:val="007B12B5"/>
    <w:rsid w:val="007D7177"/>
    <w:rsid w:val="007E0211"/>
    <w:rsid w:val="007E2A78"/>
    <w:rsid w:val="007F36D1"/>
    <w:rsid w:val="008011AD"/>
    <w:rsid w:val="0080148C"/>
    <w:rsid w:val="008035C8"/>
    <w:rsid w:val="00813740"/>
    <w:rsid w:val="00822D4E"/>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02FE5"/>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C559F"/>
    <w:rsid w:val="009E524A"/>
    <w:rsid w:val="009E7554"/>
    <w:rsid w:val="009F1787"/>
    <w:rsid w:val="009F1FA8"/>
    <w:rsid w:val="009F471D"/>
    <w:rsid w:val="00A0019F"/>
    <w:rsid w:val="00A03069"/>
    <w:rsid w:val="00A057E0"/>
    <w:rsid w:val="00A06379"/>
    <w:rsid w:val="00A12508"/>
    <w:rsid w:val="00A21ED4"/>
    <w:rsid w:val="00A27CA8"/>
    <w:rsid w:val="00A56396"/>
    <w:rsid w:val="00A70DD9"/>
    <w:rsid w:val="00A7798C"/>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292D"/>
    <w:rsid w:val="00C33274"/>
    <w:rsid w:val="00C45245"/>
    <w:rsid w:val="00C676E9"/>
    <w:rsid w:val="00C678ED"/>
    <w:rsid w:val="00C67AAE"/>
    <w:rsid w:val="00C67C0E"/>
    <w:rsid w:val="00C7217C"/>
    <w:rsid w:val="00C77A83"/>
    <w:rsid w:val="00C84BD2"/>
    <w:rsid w:val="00C86D15"/>
    <w:rsid w:val="00C9305F"/>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0168"/>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766B5"/>
    <w:rsid w:val="00E81D38"/>
    <w:rsid w:val="00E9591C"/>
    <w:rsid w:val="00EB1170"/>
    <w:rsid w:val="00EB7FD6"/>
    <w:rsid w:val="00EC49E6"/>
    <w:rsid w:val="00EC5AD9"/>
    <w:rsid w:val="00ED159E"/>
    <w:rsid w:val="00EF463B"/>
    <w:rsid w:val="00F177A0"/>
    <w:rsid w:val="00F22E8B"/>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3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C930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726A6-A902-4531-A89C-957449C70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1212</Words>
  <Characters>6915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2022-06-27T12:25:00Z</cp:lastPrinted>
  <dcterms:created xsi:type="dcterms:W3CDTF">2022-09-02T13:38:00Z</dcterms:created>
  <dcterms:modified xsi:type="dcterms:W3CDTF">2022-09-02T13:38:00Z</dcterms:modified>
</cp:coreProperties>
</file>